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6AB2">
      <w:pPr>
        <w:widowControl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 w14:paraId="774C50FF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 w14:paraId="300AFF07">
      <w:pPr>
        <w:widowControl w:val="0"/>
        <w:jc w:val="center"/>
        <w:rPr>
          <w:b/>
          <w:sz w:val="26"/>
          <w:szCs w:val="26"/>
        </w:rPr>
      </w:pPr>
    </w:p>
    <w:p w14:paraId="0E2CBFC5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 w14:paraId="53F1CCD6"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 w14:paraId="65CD55AE"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Отдел малого предпринимательства и потребительского рынка 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23EF1528"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постановлени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администрации Богородского муниципального округа Нижегородской области «</w:t>
      </w:r>
      <w:r>
        <w:rPr>
          <w:rFonts w:cs="Times New Roman"/>
          <w:b w:val="0"/>
          <w:bCs w:val="0"/>
          <w:color w:val="000000"/>
          <w:sz w:val="26"/>
          <w:szCs w:val="26"/>
          <w:u w:val="none"/>
          <w:lang w:val="ru-RU"/>
        </w:rPr>
        <w:t>О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ru-RU"/>
        </w:rPr>
        <w:t xml:space="preserve"> внесении изменений в Схему размещения нестационарных торговых об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>ъектов на территории Богородского муниципального округа Нижегородской области, утвержденную постановлением администрации Богородского муниципального округа Нижегородской области от 30.04.2021 № 1348</w:t>
      </w:r>
      <w:r>
        <w:rPr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7C3BFFAA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 w14:paraId="7344A38A"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 w14:paraId="02CD45C3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 w14:paraId="692E6B95"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rFonts w:cs="Times New Roman"/>
          <w:b w:val="0"/>
          <w:bCs w:val="0"/>
          <w:color w:val="000000"/>
          <w:sz w:val="26"/>
          <w:szCs w:val="26"/>
          <w:u w:val="none"/>
          <w:lang w:val="ru-RU"/>
        </w:rPr>
        <w:t>О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ru-RU"/>
        </w:rPr>
        <w:t xml:space="preserve"> внесении изменений в Схему размещения нестационарных торговых об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>ъектов на территории Богородского муниципального округа Нижегородской области, утвержденную постановлением администрации Богородского муниципального округа Нижегородской области от 30.04.2021 № 1348</w:t>
      </w:r>
      <w:r>
        <w:rPr>
          <w:sz w:val="28"/>
          <w:szCs w:val="28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14:paraId="54B61F35"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C3E310"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 w14:paraId="72487F67"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0F10DA0F">
      <w:pPr>
        <w:widowControl w:val="0"/>
        <w:rPr>
          <w:sz w:val="26"/>
          <w:szCs w:val="26"/>
        </w:rPr>
      </w:pPr>
    </w:p>
    <w:p w14:paraId="1275FE10">
      <w:pPr>
        <w:widowControl w:val="0"/>
        <w:rPr>
          <w:sz w:val="26"/>
          <w:szCs w:val="26"/>
        </w:rPr>
      </w:pPr>
    </w:p>
    <w:p w14:paraId="03793EF9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 w14:paraId="597D4235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 w14:paraId="2023D530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 w14:paraId="50BDBC6C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 w14:paraId="61D76377"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2F3C52"/>
    <w:rsid w:val="141D560F"/>
    <w:rsid w:val="146576C7"/>
    <w:rsid w:val="14CC1042"/>
    <w:rsid w:val="185A270C"/>
    <w:rsid w:val="27763627"/>
    <w:rsid w:val="2A047FFB"/>
    <w:rsid w:val="2BBE1284"/>
    <w:rsid w:val="2E455503"/>
    <w:rsid w:val="31332A3F"/>
    <w:rsid w:val="32B55370"/>
    <w:rsid w:val="338661D3"/>
    <w:rsid w:val="346C1298"/>
    <w:rsid w:val="34CC3EB5"/>
    <w:rsid w:val="42454C4D"/>
    <w:rsid w:val="47D34ED6"/>
    <w:rsid w:val="4D0D43BD"/>
    <w:rsid w:val="4F580083"/>
    <w:rsid w:val="506A1F9D"/>
    <w:rsid w:val="51692B3C"/>
    <w:rsid w:val="58F524A4"/>
    <w:rsid w:val="5A3B12F6"/>
    <w:rsid w:val="5BD72B6F"/>
    <w:rsid w:val="5FD478D5"/>
    <w:rsid w:val="61F0314D"/>
    <w:rsid w:val="6B821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1</TotalTime>
  <ScaleCrop>false</ScaleCrop>
  <LinksUpToDate>false</LinksUpToDate>
  <CharactersWithSpaces>2108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2025-06-23T08:11:59Z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1049-12.2.0.20326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56F0BEACE4454393AEAF43F432BA4408_13</vt:lpwstr>
  </property>
</Properties>
</file>